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29B5" w14:textId="77777777" w:rsidR="00980464" w:rsidRDefault="00980464" w:rsidP="005562B3">
      <w:pPr>
        <w:pStyle w:val="Subheader1"/>
      </w:pPr>
    </w:p>
    <w:p w14:paraId="627BC7CC" w14:textId="77777777" w:rsidR="00980464" w:rsidRDefault="00980464" w:rsidP="005562B3">
      <w:pPr>
        <w:pStyle w:val="Subheader1"/>
      </w:pPr>
    </w:p>
    <w:p w14:paraId="561D13DD" w14:textId="72C45369" w:rsidR="00F54861" w:rsidRPr="00D317DC" w:rsidRDefault="00D317DC" w:rsidP="00D317DC">
      <w:pPr>
        <w:pStyle w:val="SectionHeadline"/>
      </w:pPr>
      <w:r>
        <w:t>2026 State Legislative Session Recap</w:t>
      </w:r>
    </w:p>
    <w:p w14:paraId="1D7A3BBC" w14:textId="7B13F62B" w:rsidR="004B1A34" w:rsidRDefault="00D317DC" w:rsidP="00D317DC">
      <w:r>
        <w:t xml:space="preserve">The following is not an exhaustive list of all pieces of legislation monitored by Platte River Power </w:t>
      </w:r>
      <w:r w:rsidR="00977131">
        <w:t>Authority but</w:t>
      </w:r>
      <w:r>
        <w:t xml:space="preserve"> details the more significant bills of impact this second session of the 75</w:t>
      </w:r>
      <w:r w:rsidRPr="00D317DC">
        <w:rPr>
          <w:vertAlign w:val="superscript"/>
        </w:rPr>
        <w:t>th</w:t>
      </w:r>
      <w:r>
        <w:t xml:space="preserve"> Colorado General Assembly. This handout is to accompany the board presentation and therefore is organized by the legislative themes as outlined in the PowerPoint: Growth, Reliability, and Oversight. Affordability was a throughline across </w:t>
      </w:r>
      <w:r w:rsidR="00E8721D">
        <w:t>all</w:t>
      </w:r>
      <w:r>
        <w:t xml:space="preserve"> three themes </w:t>
      </w:r>
      <w:r w:rsidR="00E8721D">
        <w:t>as many pieces of</w:t>
      </w:r>
      <w:r>
        <w:t xml:space="preserve"> legislation </w:t>
      </w:r>
      <w:r w:rsidR="00E8721D">
        <w:t>attempted</w:t>
      </w:r>
      <w:r w:rsidR="00225730">
        <w:t xml:space="preserve"> to decrease costs (or at least mitigate rising costs) and alleviate financial burden for residents and businesses alike. </w:t>
      </w:r>
      <w:r w:rsidR="00202DC4">
        <w:t xml:space="preserve">This year’s session also marked </w:t>
      </w:r>
      <w:r w:rsidR="00225730">
        <w:t xml:space="preserve">the second consecutive year legislators grappled with a $1+ billion structural deficit. Next year’s session will be no </w:t>
      </w:r>
      <w:r w:rsidR="00977131">
        <w:t>exception,</w:t>
      </w:r>
      <w:r w:rsidR="00225730">
        <w:t xml:space="preserve"> leaving bills with fiscal notes dead on arrival unless reasonably justified. </w:t>
      </w:r>
    </w:p>
    <w:p w14:paraId="0C5094FE" w14:textId="582BFC25" w:rsidR="00D317DC" w:rsidRPr="00D317DC" w:rsidRDefault="00D317DC" w:rsidP="00D317DC">
      <w:pPr>
        <w:rPr>
          <w:b/>
          <w:bCs/>
          <w:u w:val="single"/>
        </w:rPr>
      </w:pPr>
      <w:r w:rsidRPr="00D317DC">
        <w:rPr>
          <w:b/>
          <w:bCs/>
          <w:u w:val="single"/>
        </w:rPr>
        <w:t>Growth</w:t>
      </w:r>
    </w:p>
    <w:p w14:paraId="6539333B" w14:textId="1752ED61" w:rsidR="00D317DC" w:rsidRDefault="00D317DC" w:rsidP="00D317DC">
      <w:r>
        <w:rPr>
          <w:b/>
          <w:bCs/>
        </w:rPr>
        <w:t>HB26-1030 (Data Center and Utility Modernization)</w:t>
      </w:r>
      <w:r w:rsidR="00A1450A">
        <w:rPr>
          <w:b/>
          <w:bCs/>
        </w:rPr>
        <w:t xml:space="preserve"> - </w:t>
      </w:r>
      <w:r w:rsidR="00A1450A">
        <w:rPr>
          <w:b/>
          <w:bCs/>
          <w:i/>
          <w:iCs/>
        </w:rPr>
        <w:t>Failed</w:t>
      </w:r>
      <w:r>
        <w:rPr>
          <w:b/>
          <w:bCs/>
        </w:rPr>
        <w:t xml:space="preserve">: </w:t>
      </w:r>
      <w:r>
        <w:t xml:space="preserve">Pegged as the “pro-data center” bill this session, this aimed to boost data center construction by providing a 100% sales and use tax exemption for 20+ years, alongside new utility infrastructure planning requirements. This bill was highly contested </w:t>
      </w:r>
      <w:r w:rsidR="00225730">
        <w:t>due its high financial incentives for data centers in the midst of a budget deficit</w:t>
      </w:r>
      <w:r w:rsidR="00BB2A9A">
        <w:t xml:space="preserve"> and </w:t>
      </w:r>
      <w:r w:rsidR="00225730">
        <w:t>perceived lax development requirements</w:t>
      </w:r>
      <w:r w:rsidR="00BB2A9A">
        <w:t xml:space="preserve">. Despite being introduced early in session, it took till the end of session for the bill to ultimately fail. Bill sponsors have committed to bringing this bill back. </w:t>
      </w:r>
    </w:p>
    <w:p w14:paraId="34A779B1" w14:textId="70E22A4A" w:rsidR="00BB2A9A" w:rsidRDefault="00BB2A9A" w:rsidP="00D317DC">
      <w:r>
        <w:rPr>
          <w:b/>
          <w:bCs/>
        </w:rPr>
        <w:t>SB26-102 (Measures To Ensure Accountability For Large-Load Data Centers)</w:t>
      </w:r>
      <w:r w:rsidR="00A1450A">
        <w:rPr>
          <w:b/>
          <w:bCs/>
        </w:rPr>
        <w:t xml:space="preserve"> - </w:t>
      </w:r>
      <w:r w:rsidR="00A1450A">
        <w:rPr>
          <w:b/>
          <w:bCs/>
          <w:i/>
          <w:iCs/>
        </w:rPr>
        <w:t>Failed</w:t>
      </w:r>
      <w:r>
        <w:rPr>
          <w:b/>
          <w:bCs/>
        </w:rPr>
        <w:t xml:space="preserve">: </w:t>
      </w:r>
      <w:r>
        <w:t xml:space="preserve">Bookending the spectrum for data centers, this bill was pegged the “anti-data center” bill which aimed to strictly regulate data centers over 30MW to require 100% hourly renewable energy matching by 2031 and forcing developers to pay for infrastructure costs. Several stakeholder meetings led to a whole new rewrite of the bill toward the end of session but even this did not help get it out of the Senate Transportation and Energy Committee where it ultimately failed. Bill sponsors have committed to bringing this bill back next session. </w:t>
      </w:r>
    </w:p>
    <w:p w14:paraId="7E023F2D" w14:textId="6B896262" w:rsidR="00BB2A9A" w:rsidRDefault="00BB2A9A" w:rsidP="00D317DC">
      <w:pPr>
        <w:rPr>
          <w:b/>
          <w:bCs/>
          <w:u w:val="single"/>
        </w:rPr>
      </w:pPr>
      <w:r>
        <w:rPr>
          <w:b/>
          <w:bCs/>
          <w:u w:val="single"/>
        </w:rPr>
        <w:t xml:space="preserve">Reliability </w:t>
      </w:r>
    </w:p>
    <w:p w14:paraId="47F17F52" w14:textId="3AE81F90" w:rsidR="00A1450A" w:rsidRPr="00995DDB" w:rsidRDefault="00BB2A9A" w:rsidP="00D317DC">
      <w:r>
        <w:rPr>
          <w:b/>
          <w:bCs/>
        </w:rPr>
        <w:t>SB26-182 (Updated Clean Energy Plan Municipally Owned Utility)</w:t>
      </w:r>
      <w:r w:rsidR="00A1450A">
        <w:rPr>
          <w:b/>
          <w:bCs/>
        </w:rPr>
        <w:t xml:space="preserve"> - </w:t>
      </w:r>
      <w:r w:rsidR="00A1450A">
        <w:rPr>
          <w:b/>
          <w:bCs/>
          <w:i/>
          <w:iCs/>
        </w:rPr>
        <w:t>Passed</w:t>
      </w:r>
      <w:r>
        <w:rPr>
          <w:b/>
          <w:bCs/>
        </w:rPr>
        <w:t xml:space="preserve">: </w:t>
      </w:r>
      <w:r>
        <w:t xml:space="preserve">Bipartisan legislation driven by and for Colorado Springs Utilities (CSU), this bill would allow for Colorado municipally owned utilities to submit updated clean energy plans, extend their 80% greenhouse gas emission reduction deadline from Dec. 31, 2029 to Dec. 31, 2032. Specifically for CSU, this would allow the Ray Nixon Power Plant’s coal unit to operate until the end of 2032 to </w:t>
      </w:r>
      <w:r w:rsidR="00470432">
        <w:t xml:space="preserve">maintain reliability and support rate stability. The bill passed and was officially signed into law after several rounds of negotiations took place with environmentalists. In fact, an earlier iteration of this bill (SB26-022) was postponed indefinitely (aka, failed) after negotiations led to the development of </w:t>
      </w:r>
      <w:r w:rsidR="00977131">
        <w:t xml:space="preserve">SB26-182. </w:t>
      </w:r>
    </w:p>
    <w:p w14:paraId="7080A43F" w14:textId="0DBFA16A" w:rsidR="00470432" w:rsidRDefault="00470432" w:rsidP="00D317DC">
      <w:r>
        <w:rPr>
          <w:b/>
          <w:bCs/>
        </w:rPr>
        <w:t>HB26-1226 (Manage Emissions from Electric Generating Units)</w:t>
      </w:r>
      <w:r w:rsidR="00A1450A">
        <w:rPr>
          <w:b/>
          <w:bCs/>
        </w:rPr>
        <w:t xml:space="preserve"> - </w:t>
      </w:r>
      <w:r w:rsidR="00A1450A">
        <w:rPr>
          <w:b/>
          <w:bCs/>
          <w:i/>
          <w:iCs/>
        </w:rPr>
        <w:t>Passed</w:t>
      </w:r>
      <w:r>
        <w:rPr>
          <w:b/>
          <w:bCs/>
        </w:rPr>
        <w:t xml:space="preserve">: </w:t>
      </w:r>
      <w:r>
        <w:t xml:space="preserve">Driven by environmentalists, this bill would aim to reduce emissions and control consumer costs for Colorado </w:t>
      </w:r>
      <w:r>
        <w:lastRenderedPageBreak/>
        <w:t xml:space="preserve">coal-fired power plants forced to remain operational by federal orders beyond their planned retirements. Proponents of SB26-182 worked with proponents of this bill to find compromise </w:t>
      </w:r>
      <w:r w:rsidR="00977131">
        <w:t>for</w:t>
      </w:r>
      <w:r>
        <w:t xml:space="preserve"> both ideas to go through. </w:t>
      </w:r>
      <w:r w:rsidR="00977131">
        <w:t xml:space="preserve">Any coal-fired unit open past 2034 will have to implement technologies to meet strict emission control standards. It would also require a utility to file quarterly reports to the Public Utilities Commission on the costs and operations of units kept online by federal orders, among several other requirements. The bill did pass. </w:t>
      </w:r>
    </w:p>
    <w:p w14:paraId="34F913DC" w14:textId="1C8F65D5" w:rsidR="00977131" w:rsidRDefault="00977131" w:rsidP="00D317DC">
      <w:r>
        <w:rPr>
          <w:b/>
          <w:bCs/>
        </w:rPr>
        <w:t>HB26-1337 (Facilitating Nuclear Energy Development)</w:t>
      </w:r>
      <w:r w:rsidR="00A1450A">
        <w:rPr>
          <w:b/>
          <w:bCs/>
        </w:rPr>
        <w:t xml:space="preserve"> - </w:t>
      </w:r>
      <w:r w:rsidR="00A1450A">
        <w:rPr>
          <w:b/>
          <w:bCs/>
          <w:i/>
          <w:iCs/>
        </w:rPr>
        <w:t>Failed</w:t>
      </w:r>
      <w:r>
        <w:rPr>
          <w:b/>
          <w:bCs/>
        </w:rPr>
        <w:t xml:space="preserve">: </w:t>
      </w:r>
      <w:r>
        <w:t xml:space="preserve">This bill would aim to accelerate nuclear power in Colorado by designating the Colorado Energy Office (CEO) as the central permitting coordinator for projects while still maintaining </w:t>
      </w:r>
      <w:r w:rsidR="00410F82">
        <w:t xml:space="preserve">the Nuclear Regulatory Commission as the federal permitting authority. The bill sets a goal of identifying a nuclear energy development site by 2035, construction start by 2040, and the creation of the Advanced Nuclear Energy Development Fund. The bill failed on the House floor siting financial and environmental risks. </w:t>
      </w:r>
    </w:p>
    <w:p w14:paraId="17A89C81" w14:textId="718085C0" w:rsidR="00410F82" w:rsidRDefault="00410F82" w:rsidP="00D317DC">
      <w:r>
        <w:rPr>
          <w:b/>
          <w:bCs/>
        </w:rPr>
        <w:t>SB26-142 (Development of Thermal Energy Resources)</w:t>
      </w:r>
      <w:r w:rsidR="00A1450A">
        <w:rPr>
          <w:b/>
          <w:bCs/>
        </w:rPr>
        <w:t xml:space="preserve"> - </w:t>
      </w:r>
      <w:r w:rsidR="00A1450A">
        <w:rPr>
          <w:b/>
          <w:bCs/>
          <w:i/>
          <w:iCs/>
        </w:rPr>
        <w:t>Passed</w:t>
      </w:r>
      <w:r>
        <w:rPr>
          <w:b/>
          <w:bCs/>
        </w:rPr>
        <w:t xml:space="preserve">: </w:t>
      </w:r>
      <w:r>
        <w:t>This bill was designed to utilize Colorado’s geology for dispatchable, carbon-free</w:t>
      </w:r>
      <w:r w:rsidR="00683A7C">
        <w:t xml:space="preserve">, and cost-effective heating and cooling to meet state clean energy goals. It </w:t>
      </w:r>
      <w:r>
        <w:t xml:space="preserve">would aim to accelerate geothermal energy and thermal network development by streamlining regulations and reducing red tape for local governments. It would </w:t>
      </w:r>
      <w:r w:rsidR="00683A7C">
        <w:t xml:space="preserve">also </w:t>
      </w:r>
      <w:r>
        <w:t xml:space="preserve">empower municipalities to build thermal networks, allow for the sale of recovered industrial waste heat, increase community geothermal capacity to 25 megawatts and require utilities to pursue large-scale geothermal projects. </w:t>
      </w:r>
      <w:r w:rsidR="00683A7C">
        <w:t xml:space="preserve">The bill passed and has been sent to the Governor for his signature. </w:t>
      </w:r>
    </w:p>
    <w:p w14:paraId="5624B01F" w14:textId="727BB484" w:rsidR="00683A7C" w:rsidRDefault="00683A7C" w:rsidP="00D317DC">
      <w:r>
        <w:rPr>
          <w:b/>
          <w:bCs/>
        </w:rPr>
        <w:t>HB26-1007 (</w:t>
      </w:r>
      <w:r w:rsidR="003D49D4">
        <w:rPr>
          <w:b/>
          <w:bCs/>
        </w:rPr>
        <w:t>Improve Customer Use Distributed Energy Resources)</w:t>
      </w:r>
      <w:r w:rsidR="00A1450A">
        <w:rPr>
          <w:b/>
          <w:bCs/>
        </w:rPr>
        <w:t xml:space="preserve"> - </w:t>
      </w:r>
      <w:r w:rsidR="00A1450A">
        <w:rPr>
          <w:b/>
          <w:bCs/>
          <w:i/>
          <w:iCs/>
        </w:rPr>
        <w:t>Passed</w:t>
      </w:r>
      <w:r w:rsidR="003D49D4">
        <w:rPr>
          <w:b/>
          <w:bCs/>
        </w:rPr>
        <w:t xml:space="preserve">: </w:t>
      </w:r>
      <w:r w:rsidR="003D49D4">
        <w:t xml:space="preserve">Now signed into law, this legalizes and regulates “plug-in” solar (also referred to as “balcony” solar) allowing residents, including renters, to install small solar array systems up to 1,920 watts pending utility approval. The law helps streamline processes for utility resident customers. Utilities across the state were actively engaged with the bill proponents, the Colorado Solar and Storage Association, to make sure processes and operations from the utilities’ perspective were not ignored or impacted. The bill goes into effect in 2027. </w:t>
      </w:r>
    </w:p>
    <w:p w14:paraId="37E59323" w14:textId="66166AA8" w:rsidR="00E54EDE" w:rsidRDefault="00E54EDE" w:rsidP="00D317DC">
      <w:pPr>
        <w:rPr>
          <w:b/>
          <w:bCs/>
          <w:u w:val="single"/>
        </w:rPr>
      </w:pPr>
      <w:r>
        <w:rPr>
          <w:b/>
          <w:bCs/>
          <w:u w:val="single"/>
        </w:rPr>
        <w:t>Oversight</w:t>
      </w:r>
    </w:p>
    <w:p w14:paraId="68E86BB9" w14:textId="13022BF6" w:rsidR="00E54EDE" w:rsidRDefault="00E54EDE" w:rsidP="00D317DC">
      <w:r>
        <w:rPr>
          <w:b/>
          <w:bCs/>
        </w:rPr>
        <w:t>HB26-1211 (Regulation of Broadband Services)</w:t>
      </w:r>
      <w:r w:rsidR="00A1450A">
        <w:rPr>
          <w:b/>
          <w:bCs/>
        </w:rPr>
        <w:t xml:space="preserve"> - </w:t>
      </w:r>
      <w:r w:rsidR="00995DDB">
        <w:rPr>
          <w:b/>
          <w:bCs/>
          <w:i/>
          <w:iCs/>
        </w:rPr>
        <w:t>Failed</w:t>
      </w:r>
      <w:r>
        <w:rPr>
          <w:b/>
          <w:bCs/>
        </w:rPr>
        <w:t xml:space="preserve">: </w:t>
      </w:r>
      <w:r>
        <w:t xml:space="preserve">This bill ultimately failed halfway through session, but it would have given the Public Utilities Commission authority to regulate broadband services, including municipalities who provide these services. Strong opposition emerged arguing that broadband is not a traditional type of utility and that regulation could inadvertently lead to unnecessary costs, create technical issues for providers, and even impact future investment. </w:t>
      </w:r>
    </w:p>
    <w:p w14:paraId="2A08550D" w14:textId="1F848B7E" w:rsidR="004813C4" w:rsidRDefault="00E54EDE" w:rsidP="00980464">
      <w:r>
        <w:rPr>
          <w:b/>
          <w:bCs/>
        </w:rPr>
        <w:t>HB26-1326 (Sunset Public Utilities Commission)</w:t>
      </w:r>
      <w:r w:rsidR="00995DDB">
        <w:rPr>
          <w:b/>
          <w:bCs/>
        </w:rPr>
        <w:t xml:space="preserve"> - </w:t>
      </w:r>
      <w:r w:rsidR="00995DDB">
        <w:rPr>
          <w:b/>
          <w:bCs/>
          <w:i/>
          <w:iCs/>
        </w:rPr>
        <w:t>Passed</w:t>
      </w:r>
      <w:r>
        <w:rPr>
          <w:b/>
          <w:bCs/>
        </w:rPr>
        <w:t xml:space="preserve">: </w:t>
      </w:r>
      <w:r>
        <w:t>This is a recurring bill for the reauthorization of the Public Utilities Commissioner (PUC) that happens every five years</w:t>
      </w:r>
      <w:r w:rsidR="00D35E99">
        <w:t xml:space="preserve"> and is drafted based on a report conducted by </w:t>
      </w:r>
      <w:r w:rsidR="00A51EA1">
        <w:t xml:space="preserve">The Colorado Office of Policy, Research &amp; Regulatory Reform. Even while this bill is related to any entity under the oversight of the PUC, utilities outside PUC jurisdiction were still actively engaged. Clean-up language from municipally owned utilities was offered as friendly amendments to help crystalize statutory definitions of PUC oversight. This bill was one of the longer pieces of legislation but notable elements include the alignment of renewable energy standards with clean energy plans to support cost recovery through securitization for PUC-regulated utilities, changing the reauthorization timeline from every five years to every seven (next reauthorization is 2033), and maintain PUC at three Governor-appointed commissioners. </w:t>
      </w:r>
    </w:p>
    <w:sectPr w:rsidR="004813C4" w:rsidSect="00E8721D">
      <w:footerReference w:type="default" r:id="rId8"/>
      <w:headerReference w:type="first" r:id="rId9"/>
      <w:footerReference w:type="first" r:id="rId10"/>
      <w:type w:val="continuous"/>
      <w:pgSz w:w="12240" w:h="15840"/>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C4F63" w14:textId="77777777" w:rsidR="0081168A" w:rsidRDefault="0081168A" w:rsidP="005562B3">
      <w:r>
        <w:separator/>
      </w:r>
    </w:p>
  </w:endnote>
  <w:endnote w:type="continuationSeparator" w:id="0">
    <w:p w14:paraId="383FC4D1" w14:textId="77777777" w:rsidR="0081168A" w:rsidRDefault="0081168A" w:rsidP="0055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6129" w14:textId="345ED821" w:rsidR="00357195" w:rsidRPr="00357195" w:rsidRDefault="004B1A34" w:rsidP="005562B3">
    <w:pPr>
      <w:pStyle w:val="Footer"/>
      <w:jc w:val="right"/>
    </w:pPr>
    <w:r>
      <w:t xml:space="preserve">Page </w:t>
    </w:r>
    <w:r w:rsidR="00357195">
      <w:t xml:space="preserve"> </w:t>
    </w:r>
    <w:r w:rsidR="002B10DC">
      <w:t>|</w:t>
    </w:r>
    <w:r w:rsidR="00357195">
      <w:t xml:space="preserve">  </w:t>
    </w:r>
    <w:sdt>
      <w:sdtPr>
        <w:rPr>
          <w:b/>
          <w:bCs/>
          <w:color w:val="008AD8" w:themeColor="accent1"/>
        </w:rPr>
        <w:id w:val="799503093"/>
        <w:docPartObj>
          <w:docPartGallery w:val="Page Numbers (Bottom of Page)"/>
          <w:docPartUnique/>
        </w:docPartObj>
      </w:sdtPr>
      <w:sdtEndPr>
        <w:rPr>
          <w:noProof/>
        </w:rPr>
      </w:sdtEndPr>
      <w:sdtContent>
        <w:r w:rsidR="00357195" w:rsidRPr="005562B3">
          <w:rPr>
            <w:b/>
            <w:bCs/>
            <w:color w:val="008AD8" w:themeColor="accent1"/>
          </w:rPr>
          <w:fldChar w:fldCharType="begin"/>
        </w:r>
        <w:r w:rsidR="00357195" w:rsidRPr="005562B3">
          <w:rPr>
            <w:b/>
            <w:bCs/>
            <w:color w:val="008AD8" w:themeColor="accent1"/>
          </w:rPr>
          <w:instrText xml:space="preserve"> PAGE   \* MERGEFORMAT </w:instrText>
        </w:r>
        <w:r w:rsidR="00357195" w:rsidRPr="005562B3">
          <w:rPr>
            <w:b/>
            <w:bCs/>
            <w:color w:val="008AD8" w:themeColor="accent1"/>
          </w:rPr>
          <w:fldChar w:fldCharType="separate"/>
        </w:r>
        <w:r w:rsidR="00357195" w:rsidRPr="005562B3">
          <w:rPr>
            <w:b/>
            <w:bCs/>
            <w:noProof/>
            <w:color w:val="008AD8" w:themeColor="accent1"/>
          </w:rPr>
          <w:t>2</w:t>
        </w:r>
        <w:r w:rsidR="00357195" w:rsidRPr="005562B3">
          <w:rPr>
            <w:b/>
            <w:bCs/>
            <w:noProof/>
            <w:color w:val="008AD8" w:themeColor="accent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0D9F" w14:textId="0F603F7C" w:rsidR="002B10DC" w:rsidRPr="00357195" w:rsidRDefault="00980464" w:rsidP="005562B3">
    <w:pPr>
      <w:pStyle w:val="Footer"/>
      <w:jc w:val="right"/>
      <w:rPr>
        <w:b/>
        <w:bCs/>
        <w:color w:val="008AD8" w:themeColor="accent1"/>
      </w:rPr>
    </w:pPr>
    <w:r>
      <w:t>Page</w:t>
    </w:r>
    <w:r w:rsidR="00840C4D">
      <w:t xml:space="preserve"> </w:t>
    </w:r>
    <w:r w:rsidR="002B10DC">
      <w:t xml:space="preserve"> | </w:t>
    </w:r>
    <w:sdt>
      <w:sdtPr>
        <w:id w:val="1291167038"/>
        <w:docPartObj>
          <w:docPartGallery w:val="Page Numbers (Bottom of Page)"/>
          <w:docPartUnique/>
        </w:docPartObj>
      </w:sdtPr>
      <w:sdtEndPr>
        <w:rPr>
          <w:b/>
          <w:bCs/>
          <w:noProof/>
          <w:color w:val="008AD8" w:themeColor="accent1"/>
        </w:rPr>
      </w:sdtEndPr>
      <w:sdtContent>
        <w:r w:rsidR="00840C4D">
          <w:t xml:space="preserve"> </w:t>
        </w:r>
        <w:r w:rsidR="002B10DC" w:rsidRPr="00357195">
          <w:rPr>
            <w:b/>
            <w:bCs/>
            <w:color w:val="008AD8" w:themeColor="accent1"/>
          </w:rPr>
          <w:fldChar w:fldCharType="begin"/>
        </w:r>
        <w:r w:rsidR="002B10DC" w:rsidRPr="00357195">
          <w:rPr>
            <w:b/>
            <w:bCs/>
            <w:color w:val="008AD8" w:themeColor="accent1"/>
          </w:rPr>
          <w:instrText xml:space="preserve"> PAGE   \* MERGEFORMAT </w:instrText>
        </w:r>
        <w:r w:rsidR="002B10DC" w:rsidRPr="00357195">
          <w:rPr>
            <w:b/>
            <w:bCs/>
            <w:color w:val="008AD8" w:themeColor="accent1"/>
          </w:rPr>
          <w:fldChar w:fldCharType="separate"/>
        </w:r>
        <w:r w:rsidR="002B10DC">
          <w:rPr>
            <w:b/>
            <w:bCs/>
            <w:color w:val="008AD8" w:themeColor="accent1"/>
          </w:rPr>
          <w:t>2</w:t>
        </w:r>
        <w:r w:rsidR="002B10DC" w:rsidRPr="00357195">
          <w:rPr>
            <w:b/>
            <w:bCs/>
            <w:noProof/>
            <w:color w:val="008AD8" w:themeColor="accent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CA2F" w14:textId="77777777" w:rsidR="0081168A" w:rsidRDefault="0081168A" w:rsidP="005562B3">
      <w:r>
        <w:separator/>
      </w:r>
    </w:p>
  </w:footnote>
  <w:footnote w:type="continuationSeparator" w:id="0">
    <w:p w14:paraId="18258FE8" w14:textId="77777777" w:rsidR="0081168A" w:rsidRDefault="0081168A" w:rsidP="0055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C3B2" w14:textId="77777777" w:rsidR="00D970E7" w:rsidRDefault="00D970E7" w:rsidP="00D970E7">
    <w:pPr>
      <w:pStyle w:val="Header"/>
      <w:spacing w:before="0" w:after="240"/>
    </w:pPr>
  </w:p>
  <w:p w14:paraId="01C41F64" w14:textId="6817E965" w:rsidR="002B10DC" w:rsidRPr="00F80D5C" w:rsidRDefault="00643331" w:rsidP="005562B3">
    <w:pPr>
      <w:pStyle w:val="Header"/>
    </w:pPr>
    <w:r w:rsidRPr="002B10DC">
      <w:rPr>
        <w:noProof/>
        <w:sz w:val="12"/>
        <w:szCs w:val="12"/>
      </w:rPr>
      <w:drawing>
        <wp:anchor distT="0" distB="0" distL="114300" distR="114300" simplePos="0" relativeHeight="251671552" behindDoc="1" locked="0" layoutInCell="1" allowOverlap="1" wp14:anchorId="24F8F966" wp14:editId="71776E13">
          <wp:simplePos x="0" y="0"/>
          <wp:positionH relativeFrom="column">
            <wp:posOffset>-635</wp:posOffset>
          </wp:positionH>
          <wp:positionV relativeFrom="paragraph">
            <wp:posOffset>-10478</wp:posOffset>
          </wp:positionV>
          <wp:extent cx="2477135" cy="788035"/>
          <wp:effectExtent l="0" t="0" r="0" b="0"/>
          <wp:wrapNone/>
          <wp:docPr id="2031932299" name="Picture 2031932299" descr="letterhead-logo-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logo-dig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135" cy="788035"/>
                  </a:xfrm>
                  <a:prstGeom prst="rect">
                    <a:avLst/>
                  </a:prstGeom>
                  <a:noFill/>
                </pic:spPr>
              </pic:pic>
            </a:graphicData>
          </a:graphic>
          <wp14:sizeRelH relativeFrom="page">
            <wp14:pctWidth>0</wp14:pctWidth>
          </wp14:sizeRelH>
          <wp14:sizeRelV relativeFrom="page">
            <wp14:pctHeight>0</wp14:pctHeight>
          </wp14:sizeRelV>
        </wp:anchor>
      </w:drawing>
    </w:r>
    <w:r w:rsidR="00F80D5C" w:rsidRPr="00F80D5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47CB"/>
    <w:multiLevelType w:val="hybridMultilevel"/>
    <w:tmpl w:val="752C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E522A"/>
    <w:multiLevelType w:val="hybridMultilevel"/>
    <w:tmpl w:val="A434D740"/>
    <w:lvl w:ilvl="0" w:tplc="44F62870">
      <w:start w:val="1"/>
      <w:numFmt w:val="bullet"/>
      <w:lvlText w:val=""/>
      <w:lvlJc w:val="left"/>
      <w:pPr>
        <w:ind w:left="720" w:hanging="360"/>
      </w:pPr>
      <w:rPr>
        <w:rFonts w:ascii="Symbol" w:hAnsi="Symbol" w:hint="default"/>
        <w:color w:val="008A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50172"/>
    <w:multiLevelType w:val="hybridMultilevel"/>
    <w:tmpl w:val="55D2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D46A9"/>
    <w:multiLevelType w:val="hybridMultilevel"/>
    <w:tmpl w:val="1F18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1777D"/>
    <w:multiLevelType w:val="hybridMultilevel"/>
    <w:tmpl w:val="AAD40FF2"/>
    <w:lvl w:ilvl="0" w:tplc="EB1648BC">
      <w:start w:val="1"/>
      <w:numFmt w:val="bullet"/>
      <w:lvlText w:val=""/>
      <w:lvlJc w:val="left"/>
      <w:pPr>
        <w:ind w:left="720" w:hanging="360"/>
      </w:pPr>
      <w:rPr>
        <w:rFonts w:ascii="Symbol" w:hAnsi="Symbol" w:hint="default"/>
        <w:color w:val="005776"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C4BEF"/>
    <w:multiLevelType w:val="hybridMultilevel"/>
    <w:tmpl w:val="A894D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F3920"/>
    <w:multiLevelType w:val="hybridMultilevel"/>
    <w:tmpl w:val="9252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43F20"/>
    <w:multiLevelType w:val="hybridMultilevel"/>
    <w:tmpl w:val="DA04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85F3B"/>
    <w:multiLevelType w:val="hybridMultilevel"/>
    <w:tmpl w:val="68B0B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116EC"/>
    <w:multiLevelType w:val="hybridMultilevel"/>
    <w:tmpl w:val="D026E3F8"/>
    <w:lvl w:ilvl="0" w:tplc="44F62870">
      <w:start w:val="1"/>
      <w:numFmt w:val="bullet"/>
      <w:lvlText w:val=""/>
      <w:lvlJc w:val="left"/>
      <w:pPr>
        <w:ind w:left="720" w:hanging="360"/>
      </w:pPr>
      <w:rPr>
        <w:rFonts w:ascii="Symbol" w:hAnsi="Symbol" w:hint="default"/>
        <w:color w:val="008A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E267A"/>
    <w:multiLevelType w:val="hybridMultilevel"/>
    <w:tmpl w:val="B5FA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53B83"/>
    <w:multiLevelType w:val="hybridMultilevel"/>
    <w:tmpl w:val="C6B83202"/>
    <w:lvl w:ilvl="0" w:tplc="44329012">
      <w:start w:val="1"/>
      <w:numFmt w:val="bullet"/>
      <w:lvlText w:val=""/>
      <w:lvlJc w:val="left"/>
      <w:pPr>
        <w:ind w:left="720" w:hanging="360"/>
      </w:pPr>
      <w:rPr>
        <w:rFonts w:ascii="Symbol" w:hAnsi="Symbol" w:hint="default"/>
        <w:color w:val="005776"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831C9"/>
    <w:multiLevelType w:val="hybridMultilevel"/>
    <w:tmpl w:val="AA94A56E"/>
    <w:lvl w:ilvl="0" w:tplc="36D86B2C">
      <w:start w:val="1"/>
      <w:numFmt w:val="bullet"/>
      <w:lvlText w:val=""/>
      <w:lvlJc w:val="left"/>
      <w:pPr>
        <w:ind w:left="720" w:hanging="360"/>
      </w:pPr>
      <w:rPr>
        <w:rFonts w:ascii="Symbol" w:hAnsi="Symbol" w:hint="default"/>
        <w:color w:val="005776"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3276F"/>
    <w:multiLevelType w:val="hybridMultilevel"/>
    <w:tmpl w:val="EA7668C6"/>
    <w:lvl w:ilvl="0" w:tplc="8F6476CE">
      <w:start w:val="1"/>
      <w:numFmt w:val="bullet"/>
      <w:lvlText w:val=""/>
      <w:lvlJc w:val="left"/>
      <w:pPr>
        <w:ind w:left="720" w:hanging="360"/>
      </w:pPr>
      <w:rPr>
        <w:rFonts w:ascii="Symbol" w:hAnsi="Symbol" w:hint="default"/>
        <w:color w:val="005776"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D2A9B"/>
    <w:multiLevelType w:val="hybridMultilevel"/>
    <w:tmpl w:val="133C24CC"/>
    <w:lvl w:ilvl="0" w:tplc="45EE4686">
      <w:start w:val="1"/>
      <w:numFmt w:val="bullet"/>
      <w:pStyle w:val="ListParagraph"/>
      <w:lvlText w:val=""/>
      <w:lvlJc w:val="left"/>
      <w:pPr>
        <w:ind w:left="720" w:hanging="360"/>
      </w:pPr>
      <w:rPr>
        <w:rFonts w:ascii="Symbol" w:hAnsi="Symbol" w:hint="default"/>
        <w:color w:val="005776"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06E79"/>
    <w:multiLevelType w:val="hybridMultilevel"/>
    <w:tmpl w:val="1EA29FCA"/>
    <w:lvl w:ilvl="0" w:tplc="44F62870">
      <w:start w:val="1"/>
      <w:numFmt w:val="bullet"/>
      <w:lvlText w:val=""/>
      <w:lvlJc w:val="left"/>
      <w:pPr>
        <w:ind w:left="720" w:hanging="360"/>
      </w:pPr>
      <w:rPr>
        <w:rFonts w:ascii="Symbol" w:hAnsi="Symbol" w:hint="default"/>
        <w:color w:val="008A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6176E3"/>
    <w:multiLevelType w:val="hybridMultilevel"/>
    <w:tmpl w:val="66564898"/>
    <w:lvl w:ilvl="0" w:tplc="44F62870">
      <w:start w:val="1"/>
      <w:numFmt w:val="bullet"/>
      <w:lvlText w:val=""/>
      <w:lvlJc w:val="left"/>
      <w:pPr>
        <w:ind w:left="720" w:hanging="360"/>
      </w:pPr>
      <w:rPr>
        <w:rFonts w:ascii="Symbol" w:hAnsi="Symbol" w:hint="default"/>
        <w:color w:val="008A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E7E1F"/>
    <w:multiLevelType w:val="hybridMultilevel"/>
    <w:tmpl w:val="A03A3DF8"/>
    <w:lvl w:ilvl="0" w:tplc="44329012">
      <w:start w:val="1"/>
      <w:numFmt w:val="bullet"/>
      <w:lvlText w:val=""/>
      <w:lvlJc w:val="left"/>
      <w:pPr>
        <w:ind w:left="720" w:hanging="360"/>
      </w:pPr>
      <w:rPr>
        <w:rFonts w:ascii="Symbol" w:hAnsi="Symbol" w:hint="default"/>
        <w:color w:val="005776"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E2305A"/>
    <w:multiLevelType w:val="hybridMultilevel"/>
    <w:tmpl w:val="74F66868"/>
    <w:lvl w:ilvl="0" w:tplc="44329012">
      <w:start w:val="1"/>
      <w:numFmt w:val="bullet"/>
      <w:lvlText w:val=""/>
      <w:lvlJc w:val="left"/>
      <w:pPr>
        <w:ind w:left="720" w:hanging="360"/>
      </w:pPr>
      <w:rPr>
        <w:rFonts w:ascii="Symbol" w:hAnsi="Symbol" w:hint="default"/>
        <w:color w:val="005776"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263011">
    <w:abstractNumId w:val="9"/>
  </w:num>
  <w:num w:numId="2" w16cid:durableId="756286204">
    <w:abstractNumId w:val="1"/>
  </w:num>
  <w:num w:numId="3" w16cid:durableId="462650598">
    <w:abstractNumId w:val="15"/>
  </w:num>
  <w:num w:numId="4" w16cid:durableId="1115446253">
    <w:abstractNumId w:val="8"/>
  </w:num>
  <w:num w:numId="5" w16cid:durableId="752288078">
    <w:abstractNumId w:val="16"/>
  </w:num>
  <w:num w:numId="6" w16cid:durableId="1471290056">
    <w:abstractNumId w:val="12"/>
  </w:num>
  <w:num w:numId="7" w16cid:durableId="1355768278">
    <w:abstractNumId w:val="0"/>
  </w:num>
  <w:num w:numId="8" w16cid:durableId="585040395">
    <w:abstractNumId w:val="13"/>
  </w:num>
  <w:num w:numId="9" w16cid:durableId="1781683527">
    <w:abstractNumId w:val="14"/>
  </w:num>
  <w:num w:numId="10" w16cid:durableId="787049483">
    <w:abstractNumId w:val="5"/>
  </w:num>
  <w:num w:numId="11" w16cid:durableId="914776753">
    <w:abstractNumId w:val="10"/>
  </w:num>
  <w:num w:numId="12" w16cid:durableId="1406879203">
    <w:abstractNumId w:val="7"/>
  </w:num>
  <w:num w:numId="13" w16cid:durableId="959145027">
    <w:abstractNumId w:val="6"/>
  </w:num>
  <w:num w:numId="14" w16cid:durableId="1805662397">
    <w:abstractNumId w:val="4"/>
  </w:num>
  <w:num w:numId="15" w16cid:durableId="1983464881">
    <w:abstractNumId w:val="3"/>
  </w:num>
  <w:num w:numId="16" w16cid:durableId="1675451788">
    <w:abstractNumId w:val="17"/>
  </w:num>
  <w:num w:numId="17" w16cid:durableId="1993218793">
    <w:abstractNumId w:val="11"/>
  </w:num>
  <w:num w:numId="18" w16cid:durableId="677854397">
    <w:abstractNumId w:val="18"/>
  </w:num>
  <w:num w:numId="19" w16cid:durableId="1035665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defaultTableStyle w:val="Style1"/>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2D"/>
    <w:rsid w:val="00021729"/>
    <w:rsid w:val="000615EB"/>
    <w:rsid w:val="00067549"/>
    <w:rsid w:val="00072790"/>
    <w:rsid w:val="000A722E"/>
    <w:rsid w:val="000C0257"/>
    <w:rsid w:val="000C17AF"/>
    <w:rsid w:val="000D5B27"/>
    <w:rsid w:val="00163507"/>
    <w:rsid w:val="001658F0"/>
    <w:rsid w:val="00167428"/>
    <w:rsid w:val="00175F95"/>
    <w:rsid w:val="001B73D1"/>
    <w:rsid w:val="001D0230"/>
    <w:rsid w:val="00202DC4"/>
    <w:rsid w:val="00207C5E"/>
    <w:rsid w:val="0022012C"/>
    <w:rsid w:val="00225730"/>
    <w:rsid w:val="00227FB1"/>
    <w:rsid w:val="00254B55"/>
    <w:rsid w:val="002857EC"/>
    <w:rsid w:val="00290997"/>
    <w:rsid w:val="002B10DC"/>
    <w:rsid w:val="002C521C"/>
    <w:rsid w:val="002F13C8"/>
    <w:rsid w:val="003124E5"/>
    <w:rsid w:val="00341E05"/>
    <w:rsid w:val="00357195"/>
    <w:rsid w:val="00370038"/>
    <w:rsid w:val="003D49D4"/>
    <w:rsid w:val="003F7014"/>
    <w:rsid w:val="00410F82"/>
    <w:rsid w:val="00422F51"/>
    <w:rsid w:val="00461248"/>
    <w:rsid w:val="00467FBC"/>
    <w:rsid w:val="00470432"/>
    <w:rsid w:val="004813C4"/>
    <w:rsid w:val="004A0196"/>
    <w:rsid w:val="004A3052"/>
    <w:rsid w:val="004B1A34"/>
    <w:rsid w:val="00500C74"/>
    <w:rsid w:val="005103C1"/>
    <w:rsid w:val="00516238"/>
    <w:rsid w:val="0052330E"/>
    <w:rsid w:val="00526D6D"/>
    <w:rsid w:val="005562B3"/>
    <w:rsid w:val="005B2D75"/>
    <w:rsid w:val="005C7B98"/>
    <w:rsid w:val="005E3783"/>
    <w:rsid w:val="005F607A"/>
    <w:rsid w:val="006215EF"/>
    <w:rsid w:val="00643331"/>
    <w:rsid w:val="00645AE3"/>
    <w:rsid w:val="00655D2D"/>
    <w:rsid w:val="00664ABD"/>
    <w:rsid w:val="00683A7C"/>
    <w:rsid w:val="00686207"/>
    <w:rsid w:val="00695909"/>
    <w:rsid w:val="00700057"/>
    <w:rsid w:val="0070232C"/>
    <w:rsid w:val="00712C35"/>
    <w:rsid w:val="00726AC4"/>
    <w:rsid w:val="00733409"/>
    <w:rsid w:val="00750A27"/>
    <w:rsid w:val="0075555F"/>
    <w:rsid w:val="00766E26"/>
    <w:rsid w:val="00774803"/>
    <w:rsid w:val="007E476E"/>
    <w:rsid w:val="00802AD3"/>
    <w:rsid w:val="0081168A"/>
    <w:rsid w:val="0081268E"/>
    <w:rsid w:val="00840C4D"/>
    <w:rsid w:val="0084496F"/>
    <w:rsid w:val="00853401"/>
    <w:rsid w:val="00867882"/>
    <w:rsid w:val="00883F84"/>
    <w:rsid w:val="00885BD7"/>
    <w:rsid w:val="008F1638"/>
    <w:rsid w:val="009109DB"/>
    <w:rsid w:val="009338E3"/>
    <w:rsid w:val="00945365"/>
    <w:rsid w:val="00950043"/>
    <w:rsid w:val="00954659"/>
    <w:rsid w:val="00977131"/>
    <w:rsid w:val="00980464"/>
    <w:rsid w:val="00995DDB"/>
    <w:rsid w:val="00A01C1E"/>
    <w:rsid w:val="00A039DC"/>
    <w:rsid w:val="00A07D21"/>
    <w:rsid w:val="00A1450A"/>
    <w:rsid w:val="00A2647E"/>
    <w:rsid w:val="00A3070C"/>
    <w:rsid w:val="00A51EA1"/>
    <w:rsid w:val="00AB28F8"/>
    <w:rsid w:val="00AD06A4"/>
    <w:rsid w:val="00B10AA1"/>
    <w:rsid w:val="00BB2A9A"/>
    <w:rsid w:val="00BB451D"/>
    <w:rsid w:val="00BD64D4"/>
    <w:rsid w:val="00BE03A4"/>
    <w:rsid w:val="00C02012"/>
    <w:rsid w:val="00C33A31"/>
    <w:rsid w:val="00C343B0"/>
    <w:rsid w:val="00C50412"/>
    <w:rsid w:val="00C5563F"/>
    <w:rsid w:val="00C61B1B"/>
    <w:rsid w:val="00C85D3B"/>
    <w:rsid w:val="00C921A6"/>
    <w:rsid w:val="00CA51D4"/>
    <w:rsid w:val="00CB0BE4"/>
    <w:rsid w:val="00CD78A5"/>
    <w:rsid w:val="00CE6C6B"/>
    <w:rsid w:val="00D317DC"/>
    <w:rsid w:val="00D35E99"/>
    <w:rsid w:val="00D51488"/>
    <w:rsid w:val="00D65293"/>
    <w:rsid w:val="00D76D77"/>
    <w:rsid w:val="00D970E7"/>
    <w:rsid w:val="00DA468A"/>
    <w:rsid w:val="00DA572A"/>
    <w:rsid w:val="00DB7677"/>
    <w:rsid w:val="00DE669E"/>
    <w:rsid w:val="00E2399A"/>
    <w:rsid w:val="00E257E1"/>
    <w:rsid w:val="00E54EDE"/>
    <w:rsid w:val="00E60D42"/>
    <w:rsid w:val="00E61581"/>
    <w:rsid w:val="00E8721D"/>
    <w:rsid w:val="00EC31A6"/>
    <w:rsid w:val="00F4135D"/>
    <w:rsid w:val="00F54861"/>
    <w:rsid w:val="00F706E8"/>
    <w:rsid w:val="00F77151"/>
    <w:rsid w:val="00F80D5C"/>
    <w:rsid w:val="00FD6565"/>
    <w:rsid w:val="00FE3542"/>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EF69141"/>
  <w15:chartTrackingRefBased/>
  <w15:docId w15:val="{66DECB16-8555-44EB-AD88-371E0574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D0D0D"/>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562B3"/>
    <w:pPr>
      <w:spacing w:before="240" w:after="280"/>
    </w:pPr>
    <w:rPr>
      <w:sz w:val="22"/>
    </w:rPr>
  </w:style>
  <w:style w:type="paragraph" w:styleId="Heading1">
    <w:name w:val="heading 1"/>
    <w:basedOn w:val="Normal"/>
    <w:link w:val="Heading1Char"/>
    <w:uiPriority w:val="9"/>
    <w:rsid w:val="00F80D5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link w:val="Heading2Char"/>
    <w:uiPriority w:val="9"/>
    <w:rsid w:val="00F80D5C"/>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D2D"/>
  </w:style>
  <w:style w:type="paragraph" w:styleId="Footer">
    <w:name w:val="footer"/>
    <w:basedOn w:val="Normal"/>
    <w:link w:val="FooterChar"/>
    <w:uiPriority w:val="99"/>
    <w:unhideWhenUsed/>
    <w:rsid w:val="00655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D2D"/>
  </w:style>
  <w:style w:type="paragraph" w:styleId="ListParagraph">
    <w:name w:val="List Paragraph"/>
    <w:basedOn w:val="Normal"/>
    <w:uiPriority w:val="34"/>
    <w:qFormat/>
    <w:rsid w:val="00A039DC"/>
    <w:pPr>
      <w:numPr>
        <w:numId w:val="9"/>
      </w:numPr>
      <w:spacing w:before="120" w:after="160" w:line="22" w:lineRule="atLeast"/>
    </w:pPr>
    <w:rPr>
      <w:shd w:val="clear" w:color="auto" w:fill="FFFFFF"/>
    </w:rPr>
  </w:style>
  <w:style w:type="paragraph" w:customStyle="1" w:styleId="MainTitle">
    <w:name w:val="Main Title"/>
    <w:basedOn w:val="Normal"/>
    <w:link w:val="MainTitleChar"/>
    <w:rsid w:val="007E476E"/>
    <w:rPr>
      <w:rFonts w:cs="Arial"/>
      <w:b/>
      <w:color w:val="008AD8"/>
      <w:sz w:val="48"/>
      <w:szCs w:val="56"/>
    </w:rPr>
  </w:style>
  <w:style w:type="paragraph" w:customStyle="1" w:styleId="Subheader1">
    <w:name w:val="Sub header 1"/>
    <w:basedOn w:val="Normal"/>
    <w:link w:val="Subheader1Char"/>
    <w:qFormat/>
    <w:rsid w:val="00516238"/>
    <w:rPr>
      <w:rFonts w:cs="Arial"/>
      <w:b/>
      <w:color w:val="005776" w:themeColor="accent3"/>
      <w:sz w:val="26"/>
      <w:szCs w:val="24"/>
    </w:rPr>
  </w:style>
  <w:style w:type="character" w:customStyle="1" w:styleId="MainTitleChar">
    <w:name w:val="Main Title Char"/>
    <w:basedOn w:val="DefaultParagraphFont"/>
    <w:link w:val="MainTitle"/>
    <w:rsid w:val="007E476E"/>
    <w:rPr>
      <w:rFonts w:cs="Arial"/>
      <w:b/>
      <w:color w:val="008AD8"/>
      <w:sz w:val="48"/>
      <w:szCs w:val="56"/>
    </w:rPr>
  </w:style>
  <w:style w:type="character" w:customStyle="1" w:styleId="Subheader1Char">
    <w:name w:val="Sub header 1 Char"/>
    <w:basedOn w:val="DefaultParagraphFont"/>
    <w:link w:val="Subheader1"/>
    <w:rsid w:val="00516238"/>
    <w:rPr>
      <w:rFonts w:cs="Arial"/>
      <w:b/>
      <w:color w:val="005776" w:themeColor="accent3"/>
      <w:sz w:val="26"/>
      <w:szCs w:val="24"/>
    </w:rPr>
  </w:style>
  <w:style w:type="paragraph" w:styleId="NormalWeb">
    <w:name w:val="Normal (Web)"/>
    <w:basedOn w:val="Normal"/>
    <w:uiPriority w:val="99"/>
    <w:semiHidden/>
    <w:unhideWhenUsed/>
    <w:rsid w:val="00802AD3"/>
    <w:pP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SectionHeadline">
    <w:name w:val="Section Headline"/>
    <w:basedOn w:val="MainTitle"/>
    <w:link w:val="SectionHeadlineChar"/>
    <w:qFormat/>
    <w:rsid w:val="002C521C"/>
    <w:rPr>
      <w:sz w:val="32"/>
      <w:szCs w:val="32"/>
    </w:rPr>
  </w:style>
  <w:style w:type="character" w:styleId="PlaceholderText">
    <w:name w:val="Placeholder Text"/>
    <w:basedOn w:val="DefaultParagraphFont"/>
    <w:uiPriority w:val="99"/>
    <w:semiHidden/>
    <w:rsid w:val="00883F84"/>
    <w:rPr>
      <w:color w:val="808080"/>
    </w:rPr>
  </w:style>
  <w:style w:type="character" w:customStyle="1" w:styleId="SectionHeadlineChar">
    <w:name w:val="Section Headline Char"/>
    <w:basedOn w:val="MainTitleChar"/>
    <w:link w:val="SectionHeadline"/>
    <w:rsid w:val="002C521C"/>
    <w:rPr>
      <w:rFonts w:cs="Arial"/>
      <w:b/>
      <w:color w:val="008AD8"/>
      <w:sz w:val="32"/>
      <w:szCs w:val="32"/>
    </w:rPr>
  </w:style>
  <w:style w:type="paragraph" w:customStyle="1" w:styleId="Citation">
    <w:name w:val="Citation"/>
    <w:basedOn w:val="Normal"/>
    <w:link w:val="CitationChar"/>
    <w:rsid w:val="00C33A31"/>
    <w:rPr>
      <w:i/>
      <w:color w:val="808080" w:themeColor="text2"/>
      <w:sz w:val="20"/>
      <w:szCs w:val="20"/>
    </w:rPr>
  </w:style>
  <w:style w:type="character" w:customStyle="1" w:styleId="CitationChar">
    <w:name w:val="Citation Char"/>
    <w:basedOn w:val="DefaultParagraphFont"/>
    <w:link w:val="Citation"/>
    <w:rsid w:val="00C33A31"/>
    <w:rPr>
      <w:i/>
      <w:color w:val="808080" w:themeColor="text2"/>
      <w:sz w:val="20"/>
      <w:szCs w:val="20"/>
    </w:rPr>
  </w:style>
  <w:style w:type="paragraph" w:customStyle="1" w:styleId="Subheader2">
    <w:name w:val="Sub header 2"/>
    <w:basedOn w:val="Normal"/>
    <w:link w:val="Subheader2Char"/>
    <w:qFormat/>
    <w:rsid w:val="00E2399A"/>
    <w:rPr>
      <w:b/>
      <w:bCs/>
      <w:sz w:val="24"/>
      <w:szCs w:val="24"/>
    </w:rPr>
  </w:style>
  <w:style w:type="character" w:customStyle="1" w:styleId="Heading1Char">
    <w:name w:val="Heading 1 Char"/>
    <w:basedOn w:val="DefaultParagraphFont"/>
    <w:link w:val="Heading1"/>
    <w:uiPriority w:val="9"/>
    <w:rsid w:val="00F80D5C"/>
    <w:rPr>
      <w:rFonts w:ascii="Times New Roman" w:eastAsia="Times New Roman" w:hAnsi="Times New Roman" w:cs="Times New Roman"/>
      <w:b/>
      <w:bCs/>
      <w:color w:val="auto"/>
      <w:kern w:val="36"/>
      <w:sz w:val="48"/>
      <w:szCs w:val="48"/>
    </w:rPr>
  </w:style>
  <w:style w:type="character" w:customStyle="1" w:styleId="Subheader2Char">
    <w:name w:val="Sub header 2 Char"/>
    <w:basedOn w:val="DefaultParagraphFont"/>
    <w:link w:val="Subheader2"/>
    <w:rsid w:val="00E2399A"/>
    <w:rPr>
      <w:b/>
      <w:bCs/>
      <w:szCs w:val="24"/>
    </w:rPr>
  </w:style>
  <w:style w:type="character" w:customStyle="1" w:styleId="Heading2Char">
    <w:name w:val="Heading 2 Char"/>
    <w:basedOn w:val="DefaultParagraphFont"/>
    <w:link w:val="Heading2"/>
    <w:uiPriority w:val="9"/>
    <w:rsid w:val="00F80D5C"/>
    <w:rPr>
      <w:rFonts w:ascii="Times New Roman" w:eastAsia="Times New Roman" w:hAnsi="Times New Roman" w:cs="Times New Roman"/>
      <w:b/>
      <w:bCs/>
      <w:color w:val="auto"/>
      <w:sz w:val="36"/>
      <w:szCs w:val="36"/>
    </w:rPr>
  </w:style>
  <w:style w:type="table" w:styleId="TableGrid">
    <w:name w:val="Table Grid"/>
    <w:basedOn w:val="TableNormal"/>
    <w:uiPriority w:val="39"/>
    <w:rsid w:val="0016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514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rsid w:val="00726AC4"/>
    <w:pPr>
      <w:spacing w:before="120" w:after="120" w:line="240" w:lineRule="auto"/>
    </w:pPr>
    <w:rPr>
      <w:color w:val="auto"/>
    </w:rPr>
  </w:style>
  <w:style w:type="table" w:styleId="TableWeb3">
    <w:name w:val="Table Web 3"/>
    <w:basedOn w:val="TableNormal"/>
    <w:uiPriority w:val="99"/>
    <w:rsid w:val="004A3052"/>
    <w:pPr>
      <w:spacing w:before="240" w:after="28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ableChar">
    <w:name w:val="Table Char"/>
    <w:basedOn w:val="DefaultParagraphFont"/>
    <w:link w:val="Table"/>
    <w:rsid w:val="00726AC4"/>
    <w:rPr>
      <w:color w:val="auto"/>
      <w:sz w:val="22"/>
    </w:rPr>
  </w:style>
  <w:style w:type="table" w:styleId="TableTheme">
    <w:name w:val="Table Theme"/>
    <w:basedOn w:val="TableNormal"/>
    <w:uiPriority w:val="99"/>
    <w:rsid w:val="004A3052"/>
    <w:pPr>
      <w:spacing w:before="240" w:after="2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rsid w:val="00726AC4"/>
    <w:pPr>
      <w:spacing w:before="120" w:after="120" w:line="240" w:lineRule="auto"/>
    </w:pPr>
    <w:rPr>
      <w:b/>
      <w:color w:val="FFFFFF" w:themeColor="background1"/>
    </w:rPr>
  </w:style>
  <w:style w:type="table" w:customStyle="1" w:styleId="Style1">
    <w:name w:val="Style1"/>
    <w:basedOn w:val="TableNormal"/>
    <w:uiPriority w:val="99"/>
    <w:rsid w:val="00EC31A6"/>
    <w:pPr>
      <w:spacing w:after="0" w:line="240" w:lineRule="auto"/>
    </w:pPr>
    <w:rPr>
      <w:sz w:val="22"/>
    </w:rPr>
    <w:tblPr>
      <w:tblBorders>
        <w:top w:val="single" w:sz="4" w:space="0" w:color="0D0D0D" w:themeColor="text1"/>
        <w:left w:val="single" w:sz="4" w:space="0" w:color="0D0D0D" w:themeColor="text1"/>
        <w:bottom w:val="single" w:sz="4" w:space="0" w:color="0D0D0D" w:themeColor="text1"/>
        <w:right w:val="single" w:sz="4" w:space="0" w:color="0D0D0D" w:themeColor="text1"/>
        <w:insideH w:val="single" w:sz="4" w:space="0" w:color="0D0D0D" w:themeColor="text1"/>
        <w:insideV w:val="single" w:sz="4" w:space="0" w:color="0D0D0D" w:themeColor="text1"/>
      </w:tblBorders>
    </w:tblPr>
    <w:tcPr>
      <w:vAlign w:val="center"/>
    </w:tcPr>
    <w:tblStylePr w:type="firstRow">
      <w:rPr>
        <w:rFonts w:ascii="Arial" w:hAnsi="Arial"/>
        <w:sz w:val="22"/>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single" w:sz="4" w:space="0" w:color="0D0D0D" w:themeColor="text1"/>
          <w:insideV w:val="single" w:sz="4" w:space="0" w:color="0D0D0D" w:themeColor="text1"/>
        </w:tcBorders>
        <w:shd w:val="clear" w:color="auto" w:fill="008AD8" w:themeFill="accent1"/>
      </w:tcPr>
    </w:tblStylePr>
  </w:style>
  <w:style w:type="character" w:customStyle="1" w:styleId="TableheaderChar">
    <w:name w:val="Table header Char"/>
    <w:basedOn w:val="DefaultParagraphFont"/>
    <w:link w:val="Tableheader"/>
    <w:rsid w:val="00726AC4"/>
    <w:rPr>
      <w:b/>
      <w:color w:val="FFFFFF" w:themeColor="background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7723">
      <w:bodyDiv w:val="1"/>
      <w:marLeft w:val="0"/>
      <w:marRight w:val="0"/>
      <w:marTop w:val="0"/>
      <w:marBottom w:val="0"/>
      <w:divBdr>
        <w:top w:val="none" w:sz="0" w:space="0" w:color="auto"/>
        <w:left w:val="none" w:sz="0" w:space="0" w:color="auto"/>
        <w:bottom w:val="none" w:sz="0" w:space="0" w:color="auto"/>
        <w:right w:val="none" w:sz="0" w:space="0" w:color="auto"/>
      </w:divBdr>
    </w:div>
    <w:div w:id="671570331">
      <w:bodyDiv w:val="1"/>
      <w:marLeft w:val="0"/>
      <w:marRight w:val="0"/>
      <w:marTop w:val="0"/>
      <w:marBottom w:val="0"/>
      <w:divBdr>
        <w:top w:val="none" w:sz="0" w:space="0" w:color="auto"/>
        <w:left w:val="none" w:sz="0" w:space="0" w:color="auto"/>
        <w:bottom w:val="none" w:sz="0" w:space="0" w:color="auto"/>
        <w:right w:val="none" w:sz="0" w:space="0" w:color="auto"/>
      </w:divBdr>
    </w:div>
    <w:div w:id="946354118">
      <w:bodyDiv w:val="1"/>
      <w:marLeft w:val="0"/>
      <w:marRight w:val="0"/>
      <w:marTop w:val="0"/>
      <w:marBottom w:val="0"/>
      <w:divBdr>
        <w:top w:val="none" w:sz="0" w:space="0" w:color="auto"/>
        <w:left w:val="none" w:sz="0" w:space="0" w:color="auto"/>
        <w:bottom w:val="none" w:sz="0" w:space="0" w:color="auto"/>
        <w:right w:val="none" w:sz="0" w:space="0" w:color="auto"/>
      </w:divBdr>
    </w:div>
    <w:div w:id="1037391078">
      <w:bodyDiv w:val="1"/>
      <w:marLeft w:val="0"/>
      <w:marRight w:val="0"/>
      <w:marTop w:val="0"/>
      <w:marBottom w:val="0"/>
      <w:divBdr>
        <w:top w:val="none" w:sz="0" w:space="0" w:color="auto"/>
        <w:left w:val="none" w:sz="0" w:space="0" w:color="auto"/>
        <w:bottom w:val="none" w:sz="0" w:space="0" w:color="auto"/>
        <w:right w:val="none" w:sz="0" w:space="0" w:color="auto"/>
      </w:divBdr>
    </w:div>
    <w:div w:id="1268586847">
      <w:bodyDiv w:val="1"/>
      <w:marLeft w:val="0"/>
      <w:marRight w:val="0"/>
      <w:marTop w:val="0"/>
      <w:marBottom w:val="0"/>
      <w:divBdr>
        <w:top w:val="none" w:sz="0" w:space="0" w:color="auto"/>
        <w:left w:val="none" w:sz="0" w:space="0" w:color="auto"/>
        <w:bottom w:val="none" w:sz="0" w:space="0" w:color="auto"/>
        <w:right w:val="none" w:sz="0" w:space="0" w:color="auto"/>
      </w:divBdr>
    </w:div>
    <w:div w:id="1383752974">
      <w:bodyDiv w:val="1"/>
      <w:marLeft w:val="0"/>
      <w:marRight w:val="0"/>
      <w:marTop w:val="0"/>
      <w:marBottom w:val="0"/>
      <w:divBdr>
        <w:top w:val="none" w:sz="0" w:space="0" w:color="auto"/>
        <w:left w:val="none" w:sz="0" w:space="0" w:color="auto"/>
        <w:bottom w:val="none" w:sz="0" w:space="0" w:color="auto"/>
        <w:right w:val="none" w:sz="0" w:space="0" w:color="auto"/>
      </w:divBdr>
      <w:divsChild>
        <w:div w:id="1421294801">
          <w:marLeft w:val="0"/>
          <w:marRight w:val="0"/>
          <w:marTop w:val="0"/>
          <w:marBottom w:val="0"/>
          <w:divBdr>
            <w:top w:val="none" w:sz="0" w:space="0" w:color="auto"/>
            <w:left w:val="none" w:sz="0" w:space="0" w:color="auto"/>
            <w:bottom w:val="none" w:sz="0" w:space="0" w:color="auto"/>
            <w:right w:val="none" w:sz="0" w:space="0" w:color="auto"/>
          </w:divBdr>
          <w:divsChild>
            <w:div w:id="459958028">
              <w:marLeft w:val="-225"/>
              <w:marRight w:val="-225"/>
              <w:marTop w:val="0"/>
              <w:marBottom w:val="0"/>
              <w:divBdr>
                <w:top w:val="none" w:sz="0" w:space="0" w:color="auto"/>
                <w:left w:val="none" w:sz="0" w:space="0" w:color="auto"/>
                <w:bottom w:val="none" w:sz="0" w:space="0" w:color="auto"/>
                <w:right w:val="none" w:sz="0" w:space="0" w:color="auto"/>
              </w:divBdr>
              <w:divsChild>
                <w:div w:id="1568413818">
                  <w:marLeft w:val="0"/>
                  <w:marRight w:val="0"/>
                  <w:marTop w:val="0"/>
                  <w:marBottom w:val="0"/>
                  <w:divBdr>
                    <w:top w:val="none" w:sz="0" w:space="0" w:color="auto"/>
                    <w:left w:val="none" w:sz="0" w:space="0" w:color="auto"/>
                    <w:bottom w:val="none" w:sz="0" w:space="0" w:color="auto"/>
                    <w:right w:val="none" w:sz="0" w:space="0" w:color="auto"/>
                  </w:divBdr>
                  <w:divsChild>
                    <w:div w:id="9447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3588">
          <w:marLeft w:val="-225"/>
          <w:marRight w:val="-225"/>
          <w:marTop w:val="0"/>
          <w:marBottom w:val="0"/>
          <w:divBdr>
            <w:top w:val="none" w:sz="0" w:space="0" w:color="auto"/>
            <w:left w:val="none" w:sz="0" w:space="0" w:color="auto"/>
            <w:bottom w:val="none" w:sz="0" w:space="0" w:color="auto"/>
            <w:right w:val="none" w:sz="0" w:space="0" w:color="auto"/>
          </w:divBdr>
          <w:divsChild>
            <w:div w:id="456878867">
              <w:marLeft w:val="0"/>
              <w:marRight w:val="0"/>
              <w:marTop w:val="0"/>
              <w:marBottom w:val="0"/>
              <w:divBdr>
                <w:top w:val="none" w:sz="0" w:space="0" w:color="auto"/>
                <w:left w:val="none" w:sz="0" w:space="0" w:color="auto"/>
                <w:bottom w:val="none" w:sz="0" w:space="0" w:color="auto"/>
                <w:right w:val="none" w:sz="0" w:space="0" w:color="auto"/>
              </w:divBdr>
              <w:divsChild>
                <w:div w:id="1683782572">
                  <w:marLeft w:val="0"/>
                  <w:marRight w:val="0"/>
                  <w:marTop w:val="0"/>
                  <w:marBottom w:val="0"/>
                  <w:divBdr>
                    <w:top w:val="none" w:sz="0" w:space="0" w:color="auto"/>
                    <w:left w:val="none" w:sz="0" w:space="0" w:color="auto"/>
                    <w:bottom w:val="none" w:sz="0" w:space="0" w:color="auto"/>
                    <w:right w:val="none" w:sz="0" w:space="0" w:color="auto"/>
                  </w:divBdr>
                  <w:divsChild>
                    <w:div w:id="1317144709">
                      <w:marLeft w:val="0"/>
                      <w:marRight w:val="0"/>
                      <w:marTop w:val="0"/>
                      <w:marBottom w:val="0"/>
                      <w:divBdr>
                        <w:top w:val="none" w:sz="0" w:space="0" w:color="auto"/>
                        <w:left w:val="none" w:sz="0" w:space="0" w:color="auto"/>
                        <w:bottom w:val="none" w:sz="0" w:space="0" w:color="auto"/>
                        <w:right w:val="none" w:sz="0" w:space="0" w:color="auto"/>
                      </w:divBdr>
                      <w:divsChild>
                        <w:div w:id="271060234">
                          <w:marLeft w:val="0"/>
                          <w:marRight w:val="0"/>
                          <w:marTop w:val="0"/>
                          <w:marBottom w:val="420"/>
                          <w:divBdr>
                            <w:top w:val="none" w:sz="0" w:space="0" w:color="auto"/>
                            <w:left w:val="none" w:sz="0" w:space="0" w:color="auto"/>
                            <w:bottom w:val="none" w:sz="0" w:space="0" w:color="auto"/>
                            <w:right w:val="none" w:sz="0" w:space="0" w:color="auto"/>
                          </w:divBdr>
                          <w:divsChild>
                            <w:div w:id="1234663877">
                              <w:marLeft w:val="0"/>
                              <w:marRight w:val="0"/>
                              <w:marTop w:val="0"/>
                              <w:marBottom w:val="0"/>
                              <w:divBdr>
                                <w:top w:val="none" w:sz="0" w:space="0" w:color="auto"/>
                                <w:left w:val="none" w:sz="0" w:space="0" w:color="auto"/>
                                <w:bottom w:val="none" w:sz="0" w:space="0" w:color="auto"/>
                                <w:right w:val="none" w:sz="0" w:space="0" w:color="auto"/>
                              </w:divBdr>
                            </w:div>
                            <w:div w:id="69823855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8358">
      <w:bodyDiv w:val="1"/>
      <w:marLeft w:val="0"/>
      <w:marRight w:val="0"/>
      <w:marTop w:val="0"/>
      <w:marBottom w:val="0"/>
      <w:divBdr>
        <w:top w:val="none" w:sz="0" w:space="0" w:color="auto"/>
        <w:left w:val="none" w:sz="0" w:space="0" w:color="auto"/>
        <w:bottom w:val="none" w:sz="0" w:space="0" w:color="auto"/>
        <w:right w:val="none" w:sz="0" w:space="0" w:color="auto"/>
      </w:divBdr>
    </w:div>
    <w:div w:id="1451893568">
      <w:bodyDiv w:val="1"/>
      <w:marLeft w:val="0"/>
      <w:marRight w:val="0"/>
      <w:marTop w:val="0"/>
      <w:marBottom w:val="0"/>
      <w:divBdr>
        <w:top w:val="none" w:sz="0" w:space="0" w:color="auto"/>
        <w:left w:val="none" w:sz="0" w:space="0" w:color="auto"/>
        <w:bottom w:val="none" w:sz="0" w:space="0" w:color="auto"/>
        <w:right w:val="none" w:sz="0" w:space="0" w:color="auto"/>
      </w:divBdr>
      <w:divsChild>
        <w:div w:id="1731076920">
          <w:marLeft w:val="432"/>
          <w:marRight w:val="216"/>
          <w:marTop w:val="0"/>
          <w:marBottom w:val="0"/>
          <w:divBdr>
            <w:top w:val="none" w:sz="0" w:space="0" w:color="auto"/>
            <w:left w:val="none" w:sz="0" w:space="0" w:color="auto"/>
            <w:bottom w:val="none" w:sz="0" w:space="0" w:color="auto"/>
            <w:right w:val="none" w:sz="0" w:space="0" w:color="auto"/>
          </w:divBdr>
        </w:div>
        <w:div w:id="825701832">
          <w:marLeft w:val="216"/>
          <w:marRight w:val="432"/>
          <w:marTop w:val="0"/>
          <w:marBottom w:val="0"/>
          <w:divBdr>
            <w:top w:val="none" w:sz="0" w:space="0" w:color="auto"/>
            <w:left w:val="none" w:sz="0" w:space="0" w:color="auto"/>
            <w:bottom w:val="none" w:sz="0" w:space="0" w:color="auto"/>
            <w:right w:val="none" w:sz="0" w:space="0" w:color="auto"/>
          </w:divBdr>
        </w:div>
        <w:div w:id="1468743715">
          <w:marLeft w:val="432"/>
          <w:marRight w:val="216"/>
          <w:marTop w:val="0"/>
          <w:marBottom w:val="0"/>
          <w:divBdr>
            <w:top w:val="none" w:sz="0" w:space="0" w:color="auto"/>
            <w:left w:val="none" w:sz="0" w:space="0" w:color="auto"/>
            <w:bottom w:val="none" w:sz="0" w:space="0" w:color="auto"/>
            <w:right w:val="none" w:sz="0" w:space="0" w:color="auto"/>
          </w:divBdr>
        </w:div>
        <w:div w:id="676273259">
          <w:marLeft w:val="216"/>
          <w:marRight w:val="432"/>
          <w:marTop w:val="0"/>
          <w:marBottom w:val="0"/>
          <w:divBdr>
            <w:top w:val="none" w:sz="0" w:space="0" w:color="auto"/>
            <w:left w:val="none" w:sz="0" w:space="0" w:color="auto"/>
            <w:bottom w:val="none" w:sz="0" w:space="0" w:color="auto"/>
            <w:right w:val="none" w:sz="0" w:space="0" w:color="auto"/>
          </w:divBdr>
        </w:div>
      </w:divsChild>
    </w:div>
    <w:div w:id="1812207906">
      <w:bodyDiv w:val="1"/>
      <w:marLeft w:val="0"/>
      <w:marRight w:val="0"/>
      <w:marTop w:val="0"/>
      <w:marBottom w:val="0"/>
      <w:divBdr>
        <w:top w:val="none" w:sz="0" w:space="0" w:color="auto"/>
        <w:left w:val="none" w:sz="0" w:space="0" w:color="auto"/>
        <w:bottom w:val="none" w:sz="0" w:space="0" w:color="auto"/>
        <w:right w:val="none" w:sz="0" w:space="0" w:color="auto"/>
      </w:divBdr>
      <w:divsChild>
        <w:div w:id="1449858743">
          <w:marLeft w:val="0"/>
          <w:marRight w:val="0"/>
          <w:marTop w:val="0"/>
          <w:marBottom w:val="0"/>
          <w:divBdr>
            <w:top w:val="none" w:sz="0" w:space="0" w:color="auto"/>
            <w:left w:val="none" w:sz="0" w:space="0" w:color="auto"/>
            <w:bottom w:val="none" w:sz="0" w:space="0" w:color="auto"/>
            <w:right w:val="none" w:sz="0" w:space="0" w:color="auto"/>
          </w:divBdr>
        </w:div>
      </w:divsChild>
    </w:div>
    <w:div w:id="1835338598">
      <w:bodyDiv w:val="1"/>
      <w:marLeft w:val="0"/>
      <w:marRight w:val="0"/>
      <w:marTop w:val="0"/>
      <w:marBottom w:val="0"/>
      <w:divBdr>
        <w:top w:val="none" w:sz="0" w:space="0" w:color="auto"/>
        <w:left w:val="none" w:sz="0" w:space="0" w:color="auto"/>
        <w:bottom w:val="none" w:sz="0" w:space="0" w:color="auto"/>
        <w:right w:val="none" w:sz="0" w:space="0" w:color="auto"/>
      </w:divBdr>
    </w:div>
    <w:div w:id="2038198170">
      <w:bodyDiv w:val="1"/>
      <w:marLeft w:val="0"/>
      <w:marRight w:val="0"/>
      <w:marTop w:val="0"/>
      <w:marBottom w:val="0"/>
      <w:divBdr>
        <w:top w:val="none" w:sz="0" w:space="0" w:color="auto"/>
        <w:left w:val="none" w:sz="0" w:space="0" w:color="auto"/>
        <w:bottom w:val="none" w:sz="0" w:space="0" w:color="auto"/>
        <w:right w:val="none" w:sz="0" w:space="0" w:color="auto"/>
      </w:divBdr>
      <w:divsChild>
        <w:div w:id="963072372">
          <w:marLeft w:val="0"/>
          <w:marRight w:val="0"/>
          <w:marTop w:val="0"/>
          <w:marBottom w:val="0"/>
          <w:divBdr>
            <w:top w:val="none" w:sz="0" w:space="0" w:color="auto"/>
            <w:left w:val="none" w:sz="0" w:space="0" w:color="auto"/>
            <w:bottom w:val="none" w:sz="0" w:space="0" w:color="auto"/>
            <w:right w:val="none" w:sz="0" w:space="0" w:color="auto"/>
          </w:divBdr>
        </w:div>
      </w:divsChild>
    </w:div>
    <w:div w:id="206040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PA Colors">
      <a:dk1>
        <a:srgbClr val="0D0D0D"/>
      </a:dk1>
      <a:lt1>
        <a:sysClr val="window" lastClr="FFFFFF"/>
      </a:lt1>
      <a:dk2>
        <a:srgbClr val="808080"/>
      </a:dk2>
      <a:lt2>
        <a:srgbClr val="E5E5E5"/>
      </a:lt2>
      <a:accent1>
        <a:srgbClr val="008AD8"/>
      </a:accent1>
      <a:accent2>
        <a:srgbClr val="48A23F"/>
      </a:accent2>
      <a:accent3>
        <a:srgbClr val="005776"/>
      </a:accent3>
      <a:accent4>
        <a:srgbClr val="7965B2"/>
      </a:accent4>
      <a:accent5>
        <a:srgbClr val="D14124"/>
      </a:accent5>
      <a:accent6>
        <a:srgbClr val="FFC658"/>
      </a:accent6>
      <a:hlink>
        <a:srgbClr val="008AD8"/>
      </a:hlink>
      <a:folHlink>
        <a:srgbClr val="62B5E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C85FA-4E2F-4693-BD48-9E8FAF74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Mueller</dc:creator>
  <cp:keywords/>
  <dc:description/>
  <cp:lastModifiedBy>Camacho, Javier</cp:lastModifiedBy>
  <cp:revision>6</cp:revision>
  <cp:lastPrinted>2026-05-05T16:10:00Z</cp:lastPrinted>
  <dcterms:created xsi:type="dcterms:W3CDTF">2026-05-26T21:36:00Z</dcterms:created>
  <dcterms:modified xsi:type="dcterms:W3CDTF">2026-05-27T17:52:00Z</dcterms:modified>
</cp:coreProperties>
</file>